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COMPANY OPERATING AGREEMENT OF [COMPANY NAME]</w:t>
      </w:r>
    </w:p>
    <w:p>
      <w:pPr>
        <w:jc w:val="center"/>
      </w:pPr>
      <w:r>
        <w:rPr>
          <w:b/>
          <w:sz w:val="20"/>
        </w:rPr>
        <w:t>A FLORIDA LIMITED LIABILITY COMPANY</w:t>
      </w:r>
    </w:p>
    <w:p/>
    <w:p/>
    <w:p>
      <w:r>
        <w:rPr>
          <w:b/>
          <w:sz w:val="22"/>
        </w:rPr>
        <w:t>RECITALS</w:t>
      </w:r>
    </w:p>
    <w:p>
      <w:r>
        <w:rPr>
          <w:b w:val="0"/>
          <w:sz w:val="20"/>
        </w:rPr>
        <w:t>This Operating Agreement (the "Agreement") is entered into by and among the undersigned Members for the purpose of governing the affairs and business of the Limited Liability Company formed pursuant to the Florida Revised Limited Liability Company Act (the "Act").</w:t>
      </w:r>
    </w:p>
    <w:p/>
    <w:p>
      <w:r>
        <w:rPr>
          <w:b/>
          <w:sz w:val="22"/>
        </w:rPr>
        <w:t>ARTICLE I – FORMATION</w:t>
      </w:r>
    </w:p>
    <w:p>
      <w:r>
        <w:rPr>
          <w:b w:val="0"/>
          <w:sz w:val="20"/>
        </w:rPr>
        <w:t>1.1 Formation. The Members have formed a Limited Liability Company (“Company”) pursuant to the Florida Revised Limited Liability Company Act by filing Articles of Organization with the Florida Department of State, Division of Corporations.</w:t>
      </w:r>
    </w:p>
    <w:p>
      <w:r>
        <w:rPr>
          <w:b w:val="0"/>
          <w:sz w:val="20"/>
        </w:rPr>
        <w:t>1.2 Name. The name of the Company is [COMPANY NAME], LLC.</w:t>
      </w:r>
    </w:p>
    <w:p>
      <w:r>
        <w:rPr>
          <w:b w:val="0"/>
          <w:sz w:val="20"/>
        </w:rPr>
        <w:t>1.3 Principal Office. The principal office of the Company shall be located at [PRINCIPAL OFFICE ADDRESS], or such other place as the Members may determine.</w:t>
      </w:r>
    </w:p>
    <w:p>
      <w:r>
        <w:rPr>
          <w:b w:val="0"/>
          <w:sz w:val="20"/>
        </w:rPr>
        <w:t>1.4 Registered Agent and Registered Office. The registered agent and registered office shall be as set forth in the Company’s Articles of Organization, or as otherwise designated by the Members.</w:t>
      </w:r>
    </w:p>
    <w:p/>
    <w:p>
      <w:r>
        <w:rPr>
          <w:b/>
          <w:sz w:val="22"/>
        </w:rPr>
        <w:t>ARTICLE II – PURPOSE</w:t>
      </w:r>
    </w:p>
    <w:p>
      <w:r>
        <w:rPr>
          <w:b w:val="0"/>
          <w:sz w:val="20"/>
        </w:rPr>
        <w:t>2.1 Purpose. The purpose of the Company is to engage in any lawful act or activity for which limited liability companies may be organized under the laws of the State of Florida, as determined by the Members.</w:t>
      </w:r>
    </w:p>
    <w:p/>
    <w:p>
      <w:r>
        <w:rPr>
          <w:b/>
          <w:sz w:val="22"/>
        </w:rPr>
        <w:t>ARTICLE III – MEMBERS AND CAPITAL CONTRIBUTIONS</w:t>
      </w:r>
    </w:p>
    <w:p>
      <w:r>
        <w:rPr>
          <w:b w:val="0"/>
          <w:sz w:val="20"/>
        </w:rPr>
        <w:t>3.1 Members. The names, addresses, and initial Capital Contributions of the Members are as set forth in Exhibit A attached hereto and incorporated herein by reference.</w:t>
      </w:r>
    </w:p>
    <w:p>
      <w:r>
        <w:rPr>
          <w:b w:val="0"/>
          <w:sz w:val="20"/>
        </w:rPr>
        <w:t>3.2 Capital Contributions. Each Member shall contribute to the Company's capital as described in Exhibit A. No Member shall be required to make any additional contributions unless agreed upon in writing by all Members.</w:t>
      </w:r>
    </w:p>
    <w:p>
      <w:r>
        <w:rPr>
          <w:b w:val="0"/>
          <w:sz w:val="20"/>
        </w:rPr>
        <w:t>3.3 Additional Contributions. No Member shall be obligated to make additional capital contributions. Additional contributions, if any, shall be made only with the unanimous consent of all Members.</w:t>
      </w:r>
    </w:p>
    <w:p/>
    <w:p>
      <w:r>
        <w:rPr>
          <w:b/>
          <w:sz w:val="22"/>
        </w:rPr>
        <w:t>ARTICLE IV – ALLOCATION OF PROFITS AND LOSSES; DISTRIBUTIONS</w:t>
      </w:r>
    </w:p>
    <w:p>
      <w:r>
        <w:rPr>
          <w:b w:val="0"/>
          <w:sz w:val="20"/>
        </w:rPr>
        <w:t>4.1 Allocations. Profits and losses of the Company shall be allocated to the Members in proportion to their respective Percentage Interests as set forth in Exhibit A.</w:t>
      </w:r>
    </w:p>
    <w:p>
      <w:r>
        <w:rPr>
          <w:b w:val="0"/>
          <w:sz w:val="20"/>
        </w:rPr>
        <w:t>4.2 Distributions. Distributions of cash or other assets of the Company shall be made to the Members at such times and in such amounts as determined by the Members, in proportion to their Percentage Interests, subject to applicable law and the Company’s financial condition.</w:t>
      </w:r>
    </w:p>
    <w:p/>
    <w:p>
      <w:r>
        <w:rPr>
          <w:b/>
          <w:sz w:val="22"/>
        </w:rPr>
        <w:t>ARTICLE V – MANAGEMENT</w:t>
      </w:r>
    </w:p>
    <w:p>
      <w:r>
        <w:rPr>
          <w:b w:val="0"/>
          <w:sz w:val="20"/>
        </w:rPr>
        <w:t>5.1 Management by Members. The Company shall be managed by its Members unless otherwise determined. Each Member shall have authority to act on behalf of the Company only as expressly provided herein or authorized by the Members.</w:t>
      </w:r>
    </w:p>
    <w:p>
      <w:r>
        <w:rPr>
          <w:b w:val="0"/>
          <w:sz w:val="20"/>
        </w:rPr>
        <w:t>5.2 Voting. Each Member shall have voting rights in proportion to their Percentage Interest. Decisions shall be made by the affirmative vote of Members holding a majority of the Percentage Interests, except as otherwise provided in this Agreement or required by law.</w:t>
      </w:r>
    </w:p>
    <w:p>
      <w:r>
        <w:rPr>
          <w:b w:val="0"/>
          <w:sz w:val="20"/>
        </w:rPr>
        <w:t>5.3 Officers. The Members may, but are not required to, appoint officers to manage the day-to-day operations of the Company, and shall define their duties and authority.</w:t>
      </w:r>
    </w:p>
    <w:p/>
    <w:p>
      <w:r>
        <w:rPr>
          <w:b/>
          <w:sz w:val="22"/>
        </w:rPr>
        <w:t>ARTICLE VI – MEETINGS</w:t>
      </w:r>
    </w:p>
    <w:p>
      <w:r>
        <w:rPr>
          <w:b w:val="0"/>
          <w:sz w:val="20"/>
        </w:rPr>
        <w:t>6.1 Meetings. Meetings of the Members may be held at any time upon reasonable notice to all Members. Meetings may be held in person, via telephone, or by any other electronic means permitted by law.</w:t>
      </w:r>
    </w:p>
    <w:p>
      <w:r>
        <w:rPr>
          <w:b w:val="0"/>
          <w:sz w:val="20"/>
        </w:rPr>
        <w:t>6.2 Quorum. A majority of the Percentage Interests shall constitute a quorum for the transaction of business at any meeting of the Members.</w:t>
      </w:r>
    </w:p>
    <w:p>
      <w:r>
        <w:rPr>
          <w:b w:val="0"/>
          <w:sz w:val="20"/>
        </w:rPr>
        <w:t>6.3 Action Without Meeting. Any action which may be taken at a meeting may be taken without a meeting if a consent in writing, setting forth the action so taken, is signed by Members holding the required Percentage Interests.</w:t>
      </w:r>
    </w:p>
    <w:p/>
    <w:p>
      <w:r>
        <w:rPr>
          <w:b/>
          <w:sz w:val="22"/>
        </w:rPr>
        <w:t>ARTICLE VII – BOOKS, RECORDS, AND ACCOUNTING</w:t>
      </w:r>
    </w:p>
    <w:p>
      <w:r>
        <w:rPr>
          <w:b w:val="0"/>
          <w:sz w:val="20"/>
        </w:rPr>
        <w:t>7.1 Books and Records. The Company shall keep complete and accurate books and records of the Company’s business and affairs as required by the Act.</w:t>
      </w:r>
    </w:p>
    <w:p>
      <w:r>
        <w:rPr>
          <w:b w:val="0"/>
          <w:sz w:val="20"/>
        </w:rPr>
        <w:t>7.2 Fiscal Year. The Company’s fiscal year shall end on December 31 of each year, or such other date as the Members may determine.</w:t>
      </w:r>
    </w:p>
    <w:p>
      <w:r>
        <w:rPr>
          <w:b w:val="0"/>
          <w:sz w:val="20"/>
        </w:rPr>
        <w:t>7.3 Accounting Method. The Company shall use the accrual method of accounting in accordance with generally accepted accounting principles (GAAP).</w:t>
      </w:r>
    </w:p>
    <w:p>
      <w:r>
        <w:rPr>
          <w:b w:val="0"/>
          <w:sz w:val="20"/>
        </w:rPr>
        <w:t>7.4 Member Access. Each Member shall have the right to inspect and copy the Company’s books and records during normal business hours upon reasonable notice.</w:t>
      </w:r>
    </w:p>
    <w:p/>
    <w:p>
      <w:r>
        <w:rPr>
          <w:b/>
          <w:sz w:val="22"/>
        </w:rPr>
        <w:t>ARTICLE VIII – TRANSFERS OF INTERESTS</w:t>
      </w:r>
    </w:p>
    <w:p>
      <w:r>
        <w:rPr>
          <w:b w:val="0"/>
          <w:sz w:val="20"/>
        </w:rPr>
        <w:t>8.1 General Restrictions. No Member may sell, transfer, assign, pledge, or otherwise dispose of all or any part of their interest in the Company without the prior written consent of Members holding at least a majority of the Percentage Interests (excluding the transferring Member).</w:t>
      </w:r>
    </w:p>
    <w:p>
      <w:r>
        <w:rPr>
          <w:b w:val="0"/>
          <w:sz w:val="20"/>
        </w:rPr>
        <w:t>8.2 Right of First Refusal. If a Member desires to transfer their interest, the other Members shall have a right of first refusal to purchase the interest on the same terms and conditions.</w:t>
      </w:r>
    </w:p>
    <w:p>
      <w:r>
        <w:rPr>
          <w:b w:val="0"/>
          <w:sz w:val="20"/>
        </w:rPr>
        <w:t>8.3 Permitted Transfers. Transfers to family members, trusts, or entities controlled by the Member may be permitted upon written notice to the other Members, subject to restrictions herein.</w:t>
      </w:r>
    </w:p>
    <w:p>
      <w:r>
        <w:rPr>
          <w:b w:val="0"/>
          <w:sz w:val="20"/>
        </w:rPr>
        <w:t>8.4 Admission of Transferee. A transferee shall be admitted as a Member only upon the unanimous consent of the existing Members and compliance with all legal requirements.</w:t>
      </w:r>
    </w:p>
    <w:p/>
    <w:p>
      <w:r>
        <w:rPr>
          <w:b/>
          <w:sz w:val="22"/>
        </w:rPr>
        <w:t>ARTICLE IX – DISSOLUTION AND WINDING UP</w:t>
      </w:r>
    </w:p>
    <w:p>
      <w:r>
        <w:rPr>
          <w:b w:val="0"/>
          <w:sz w:val="20"/>
        </w:rPr>
        <w:t>9.1 Events of Dissolution. The Company shall dissolve upon the occurrence of any event requiring dissolution under the Act, including but not limited to the vote of Members holding a majority of the Percentage Interests, entry of a decree of judicial dissolution, or sale of all or substantially all of the Company’s assets.</w:t>
      </w:r>
    </w:p>
    <w:p>
      <w:r>
        <w:rPr>
          <w:b w:val="0"/>
          <w:sz w:val="20"/>
        </w:rPr>
        <w:t>9.2 Winding Up. Upon dissolution, the Company shall wind up its affairs, pay or provide for all debts, liabilities, and obligations, and distribute any remaining assets to the Members in accordance with their respective Percentage Interests after satisfaction of all liabilities.</w:t>
      </w:r>
    </w:p>
    <w:p/>
    <w:p>
      <w:r>
        <w:rPr>
          <w:b/>
          <w:sz w:val="22"/>
        </w:rPr>
        <w:t>ARTICLE X – INDEMNIFICATION</w:t>
      </w:r>
    </w:p>
    <w:p>
      <w:r>
        <w:rPr>
          <w:b w:val="0"/>
          <w:sz w:val="20"/>
        </w:rPr>
        <w:t>10.1 Indemnification. To the fullest extent permitted by law, the Company shall indemnify and hold harmless any Member, manager, officer, or agent of the Company against any and all claims, liabilities, and expenses arising from the management or operation of the Company, except for acts of gross negligence, willful misconduct, or fraud.</w:t>
      </w:r>
    </w:p>
    <w:p/>
    <w:p>
      <w:r>
        <w:rPr>
          <w:b/>
          <w:sz w:val="22"/>
        </w:rPr>
        <w:t>ARTICLE XI – AMENDMENTS</w:t>
      </w:r>
    </w:p>
    <w:p>
      <w:r>
        <w:rPr>
          <w:b w:val="0"/>
          <w:sz w:val="20"/>
        </w:rPr>
        <w:t>11.1 Amendments. This Agreement may be amended only by a written instrument signed by Members holding at least a majority of the Percentage Interests, unless a greater percentage is required by law or this Agreement.</w:t>
      </w:r>
    </w:p>
    <w:p/>
    <w:p>
      <w:r>
        <w:rPr>
          <w:b/>
          <w:sz w:val="22"/>
        </w:rPr>
        <w:t>ARTICLE XII – MISCELLANEOUS</w:t>
      </w:r>
    </w:p>
    <w:p>
      <w:r>
        <w:rPr>
          <w:b w:val="0"/>
          <w:sz w:val="20"/>
        </w:rPr>
        <w:t>12.1 Governing Law. This Agreement shall be governed by and construed in accordance with the laws of the State of Florida, without regard to conflicts of law principles.</w:t>
      </w:r>
    </w:p>
    <w:p>
      <w:r>
        <w:rPr>
          <w:b w:val="0"/>
          <w:sz w:val="20"/>
        </w:rPr>
        <w:t>12.2 Severability. If any provision of this Agreement is determined to be invalid or unenforceable, the remainder of this Agreement shall not be affected and shall be enforced to the greatest extent permitted by law.</w:t>
      </w:r>
    </w:p>
    <w:p>
      <w:r>
        <w:rPr>
          <w:b w:val="0"/>
          <w:sz w:val="20"/>
        </w:rPr>
        <w:t>12.3 Entire Agreement. This Agreement constitutes the entire agreement among the Members with respect to the subject matter hereof and supersedes all prior agreements and understandings.</w:t>
      </w:r>
    </w:p>
    <w:p>
      <w:r>
        <w:rPr>
          <w:b w:val="0"/>
          <w:sz w:val="20"/>
        </w:rPr>
        <w:t>12.4 Counterparts. This Agreement may be executed in multiple counterparts, each of which shall be deemed an original, but all of which together shall constitute one and the same instrument.</w:t>
      </w:r>
    </w:p>
    <w:p/>
    <w:p/>
    <w:p>
      <w:r>
        <w:rPr>
          <w:b w:val="0"/>
          <w:sz w:val="20"/>
        </w:rPr>
        <w:t>IN WITNESS WHEREOF, the undersigned Members have executed this Operating Agreement as of the date first above written.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 Name: _______________________________</w:t>
            </w:r>
          </w:p>
        </w:tc>
        <w:tc>
          <w:tcPr>
            <w:tcW w:type="dxa" w:w="4986"/>
            <w:tcBorders>
              <w:top w:val="nil"/>
              <w:left w:val="nil"/>
              <w:bottom w:val="nil"/>
              <w:right w:val="nil"/>
              <w:insideH w:val="nil"/>
              <w:insideV w:val="nil"/>
            </w:tcBorders>
          </w:tcPr>
          <w:p>
            <w:pPr>
              <w:jc w:val="center"/>
            </w:pPr>
            <w:r>
              <w:t>Print Name: _______________________________</w:t>
            </w:r>
          </w:p>
        </w:tc>
      </w:tr>
    </w:tbl>
    <w:p/>
    <w:p>
      <w:r>
        <w:rPr>
          <w:b/>
          <w:sz w:val="22"/>
        </w:rPr>
        <w:t>EXHIBIT A</w:t>
      </w:r>
    </w:p>
    <w:p>
      <w:r>
        <w:rPr>
          <w:b/>
          <w:sz w:val="20"/>
        </w:rPr>
        <w:t>MEMBERS, CAPITAL CONTRIBUTIONS, AND PERCENTAGE INTERESTS</w:t>
      </w:r>
    </w:p>
    <w:p/>
    <w:tbl>
      <w:tblPr>
        <w:tblW w:type="auto" w:w="0"/>
        <w:tblLook w:firstColumn="1" w:firstRow="1" w:lastColumn="0" w:lastRow="0" w:noHBand="0" w:noVBand="1" w:val="04A0"/>
      </w:tblPr>
      <w:tblGrid>
        <w:gridCol w:w="2493"/>
        <w:gridCol w:w="2493"/>
        <w:gridCol w:w="2493"/>
        <w:gridCol w:w="2493"/>
      </w:tblGrid>
      <w:tr>
        <w:tc>
          <w:tcPr>
            <w:tcW w:type="dxa" w:w="2493"/>
            <w:tcBorders>
              <w:top w:val="nil"/>
              <w:left w:val="nil"/>
              <w:bottom w:val="nil"/>
              <w:right w:val="nil"/>
              <w:insideH w:val="nil"/>
              <w:insideV w:val="nil"/>
            </w:tcBorders>
          </w:tcPr>
          <w:p>
            <w:pPr>
              <w:jc w:val="center"/>
            </w:pPr>
            <w:r>
              <w:rPr>
                <w:b/>
              </w:rPr>
              <w:t>Member Name</w:t>
            </w:r>
          </w:p>
        </w:tc>
        <w:tc>
          <w:tcPr>
            <w:tcW w:type="dxa" w:w="2493"/>
            <w:tcBorders>
              <w:top w:val="nil"/>
              <w:left w:val="nil"/>
              <w:bottom w:val="nil"/>
              <w:right w:val="nil"/>
              <w:insideH w:val="nil"/>
              <w:insideV w:val="nil"/>
            </w:tcBorders>
          </w:tcPr>
          <w:p>
            <w:pPr>
              <w:jc w:val="center"/>
            </w:pPr>
            <w:r>
              <w:rPr>
                <w:b/>
              </w:rPr>
              <w:t>Address</w:t>
            </w:r>
          </w:p>
        </w:tc>
        <w:tc>
          <w:tcPr>
            <w:tcW w:type="dxa" w:w="2493"/>
            <w:tcBorders>
              <w:top w:val="nil"/>
              <w:left w:val="nil"/>
              <w:bottom w:val="nil"/>
              <w:right w:val="nil"/>
              <w:insideH w:val="nil"/>
              <w:insideV w:val="nil"/>
            </w:tcBorders>
          </w:tcPr>
          <w:p>
            <w:pPr>
              <w:jc w:val="center"/>
            </w:pPr>
            <w:r>
              <w:rPr>
                <w:b/>
              </w:rPr>
              <w:t>Capital Contribution ($)</w:t>
            </w:r>
          </w:p>
        </w:tc>
        <w:tc>
          <w:tcPr>
            <w:tcW w:type="dxa" w:w="2493"/>
            <w:tcBorders>
              <w:top w:val="nil"/>
              <w:left w:val="nil"/>
              <w:bottom w:val="nil"/>
              <w:right w:val="nil"/>
              <w:insideH w:val="nil"/>
              <w:insideV w:val="nil"/>
            </w:tcBorders>
          </w:tcPr>
          <w:p>
            <w:pPr>
              <w:jc w:val="center"/>
            </w:pPr>
            <w:r>
              <w:rPr>
                <w:b/>
              </w:rPr>
              <w:t>Percentage Interest (%)</w:t>
            </w:r>
          </w:p>
        </w:tc>
      </w:tr>
      <w:tr>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r>
      <w:tr>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r>
      <w:tr>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r>
      <w:tr>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r>
      <w:tr>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c>
          <w:tcPr>
            <w:tcW w:type="dxa" w:w="2493"/>
            <w:tcBorders>
              <w:top w:val="nil"/>
              <w:left w:val="nil"/>
              <w:bottom w:val="nil"/>
              <w:right w:val="nil"/>
              <w:insideH w:val="nil"/>
              <w:insideV w:val="nil"/>
            </w:tcBorders>
          </w:tcPr>
          <w:p>
            <w:r>
              <w:t>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https://agreementdocs-us.com/llc-operating-agreement-florida/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lc-operating-agreement-florida/"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